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912"/>
        <w:gridCol w:w="3168"/>
      </w:tblGrid>
      <w:tr>
        <w:tc>
          <w:tcPr>
            <w:tcW w:type="dxa" w:w="5040"/>
            <w:shd w:fill="090D0D"/>
            <w:tcMar>
              <w:top w:w="120" w:type="dxa"/>
              <w:bottom w:w="120" w:type="dxa"/>
              <w:start w:w="150" w:type="dxa"/>
              <w:end w:w="150" w:type="dxa"/>
            </w:tcMar>
            <w:tcBorders>
              <w:top w:val="single" w:sz="4" w:color="090D0D"/>
              <w:left w:val="single" w:sz="4" w:color="090D0D"/>
              <w:bottom w:val="single" w:sz="4" w:color="090D0D"/>
              <w:right w:val="single" w:sz="4" w:color="090D0D"/>
            </w:tcBorders>
            <w:vAlign w:val="center"/>
          </w:tcPr>
          <w:p>
            <w:pPr>
              <w:spacing w:after="0"/>
            </w:pPr>
            <w:r>
              <w:drawing>
                <wp:inline xmlns:a="http://schemas.openxmlformats.org/drawingml/2006/main" xmlns:pic="http://schemas.openxmlformats.org/drawingml/2006/picture">
                  <wp:extent cx="1645920" cy="363739"/>
                  <wp:docPr id="1" name="Picture 1"/>
                  <wp:cNvGraphicFramePr>
                    <a:graphicFrameLocks noChangeAspect="1"/>
                  </wp:cNvGraphicFramePr>
                  <a:graphic>
                    <a:graphicData uri="http://schemas.openxmlformats.org/drawingml/2006/picture">
                      <pic:pic>
                        <pic:nvPicPr>
                          <pic:cNvPr id="0" name="numus-logo-email-8db858d0.png"/>
                          <pic:cNvPicPr/>
                        </pic:nvPicPr>
                        <pic:blipFill>
                          <a:blip r:embed="rId9"/>
                          <a:stretch>
                            <a:fillRect/>
                          </a:stretch>
                        </pic:blipFill>
                        <pic:spPr>
                          <a:xfrm>
                            <a:off x="0" y="0"/>
                            <a:ext cx="1645920" cy="363739"/>
                          </a:xfrm>
                          <a:prstGeom prst="rect"/>
                        </pic:spPr>
                      </pic:pic>
                    </a:graphicData>
                  </a:graphic>
                </wp:inline>
              </w:drawing>
            </w:r>
          </w:p>
        </w:tc>
        <w:tc>
          <w:tcPr>
            <w:tcW w:type="dxa" w:w="5040"/>
            <w:shd w:fill="090D0D"/>
            <w:tcMar>
              <w:top w:w="120" w:type="dxa"/>
              <w:bottom w:w="120" w:type="dxa"/>
              <w:start w:w="150" w:type="dxa"/>
              <w:end w:w="150" w:type="dxa"/>
            </w:tcMar>
            <w:tcBorders>
              <w:top w:val="single" w:sz="4" w:color="090D0D"/>
              <w:left w:val="single" w:sz="4" w:color="090D0D"/>
              <w:bottom w:val="single" w:sz="4" w:color="090D0D"/>
              <w:right w:val="single" w:sz="4" w:color="090D0D"/>
            </w:tcBorders>
            <w:vAlign w:val="center"/>
          </w:tcPr>
          <w:p>
            <w:pPr>
              <w:spacing w:after="0"/>
              <w:jc w:val="right"/>
            </w:pPr>
            <w:r>
              <w:rPr>
                <w:b/>
                <w:color w:val="F7921D"/>
                <w:sz w:val="30"/>
              </w:rPr>
              <w:t>NMS.io</w:t>
            </w:r>
          </w:p>
        </w:tc>
      </w:tr>
    </w:tbl>
    <w:p>
      <w:pPr>
        <w:spacing w:after="20" w:before="0" w:line="60" w:lineRule="exact"/>
      </w:pPr>
      <w:r>
        <w:rPr>
          <w:sz w:val="4"/>
        </w:rPr>
        <w:t xml:space="preserve"> </w:t>
      </w:r>
    </w:p>
    <w:p>
      <w:pPr>
        <w:pStyle w:val="Title"/>
      </w:pPr>
      <w:r>
        <w:t>Recurring credit card authorization</w:t>
      </w:r>
    </w:p>
    <w:p>
      <w:pPr>
        <w:spacing w:after="120"/>
      </w:pPr>
      <w:r>
        <w:rPr>
          <w:color w:val="545B61"/>
          <w:sz w:val="20"/>
        </w:rPr>
        <w:t>Permission for a fixed scheduled amount</w:t>
      </w:r>
    </w:p>
    <w:p>
      <w:pPr>
        <w:spacing w:after="140"/>
      </w:pPr>
      <w:r>
        <w:rPr>
          <w:sz w:val="18"/>
        </w:rPr>
        <w:t>For fixed recurring charges on a card already captured by the merchant's payment provider. Variable amounts, usage billing and free-trial conversions need tailored terms and a supported provider workflow.</w:t>
      </w:r>
    </w:p>
    <w:p>
      <w:pPr>
        <w:pStyle w:val="Heading2"/>
      </w:pPr>
      <w:r>
        <w:t>Merchant and cardholder</w:t>
      </w:r>
    </w:p>
    <w:tbl>
      <w:tblPr>
        <w:tblW w:type="auto" w:w="0"/>
        <w:jc w:val="center"/>
        <w:tblLayout w:type="fixed"/>
        <w:tblLook w:firstColumn="1" w:firstRow="1" w:lastColumn="0" w:lastRow="0" w:noHBand="0" w:noVBand="1" w:val="04A0"/>
      </w:tblPr>
      <w:tblGrid>
        <w:gridCol w:w="5040"/>
        <w:gridCol w:w="5040"/>
      </w:tblGrid>
      <w:tr>
        <w:trPr>
          <w:cantSplit/>
        </w:trPr>
        <w:tc>
          <w:tcPr>
            <w:tcW w:type="dxa" w:w="504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Merchant or business name</w:t>
            </w:r>
          </w:p>
          <w:p>
            <w:pPr>
              <w:spacing w:after="20" w:before="0" w:line="240" w:lineRule="auto"/>
            </w:pPr>
            <w:r>
              <w:rPr>
                <w:color w:val="000000"/>
                <w:sz w:val="20"/>
              </w:rPr>
              <w:t>[Enter here]</w:t>
            </w:r>
          </w:p>
        </w:tc>
        <w:tc>
          <w:tcPr>
            <w:tcW w:type="dxa" w:w="504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Merchant contact email or phone</w:t>
            </w:r>
          </w:p>
          <w:p>
            <w:pPr>
              <w:spacing w:after="20" w:before="0" w:line="240" w:lineRule="auto"/>
            </w:pPr>
            <w:r>
              <w:rPr>
                <w:color w:val="000000"/>
                <w:sz w:val="20"/>
              </w:rPr>
              <w:t>[Enter here]</w:t>
            </w:r>
          </w:p>
        </w:tc>
      </w:tr>
    </w:tbl>
    <w:p>
      <w:pPr>
        <w:spacing w:after="0" w:before="0" w:line="60" w:lineRule="exact"/>
      </w:pPr>
      <w:r>
        <w:rPr>
          <w:sz w:val="4"/>
        </w:rPr>
        <w:t xml:space="preserve"> </w:t>
      </w:r>
    </w:p>
    <w:tbl>
      <w:tblPr>
        <w:tblW w:type="auto" w:w="0"/>
        <w:jc w:val="center"/>
        <w:tblLayout w:type="fixed"/>
        <w:tblLook w:firstColumn="1" w:firstRow="1" w:lastColumn="0" w:lastRow="0" w:noHBand="0" w:noVBand="1" w:val="04A0"/>
      </w:tblPr>
      <w:tblGrid>
        <w:gridCol w:w="10080"/>
      </w:tblGrid>
      <w:tr>
        <w:trPr>
          <w:cantSplit/>
        </w:trPr>
        <w:tc>
          <w:tcPr>
            <w:tcW w:type="dxa" w:w="1008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Merchant business address</w:t>
            </w:r>
          </w:p>
          <w:p>
            <w:pPr>
              <w:spacing w:after="20" w:before="0" w:line="240" w:lineRule="auto"/>
            </w:pPr>
            <w:r>
              <w:rPr>
                <w:color w:val="000000"/>
                <w:sz w:val="20"/>
              </w:rPr>
              <w:t>[Enter here]</w:t>
            </w:r>
          </w:p>
        </w:tc>
      </w:tr>
    </w:tbl>
    <w:p>
      <w:pPr>
        <w:spacing w:after="0" w:before="0" w:line="60" w:lineRule="exact"/>
      </w:pPr>
      <w:r>
        <w:rPr>
          <w:sz w:val="4"/>
        </w:rPr>
        <w:t xml:space="preserve"> </w:t>
      </w:r>
    </w:p>
    <w:tbl>
      <w:tblPr>
        <w:tblW w:type="auto" w:w="0"/>
        <w:jc w:val="center"/>
        <w:tblLayout w:type="fixed"/>
        <w:tblLook w:firstColumn="1" w:firstRow="1" w:lastColumn="0" w:lastRow="0" w:noHBand="0" w:noVBand="1" w:val="04A0"/>
      </w:tblPr>
      <w:tblGrid>
        <w:gridCol w:w="5040"/>
        <w:gridCol w:w="5040"/>
      </w:tblGrid>
      <w:tr>
        <w:trPr>
          <w:cantSplit/>
        </w:trPr>
        <w:tc>
          <w:tcPr>
            <w:tcW w:type="dxa" w:w="504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Cardholder name</w:t>
            </w:r>
          </w:p>
          <w:p>
            <w:pPr>
              <w:spacing w:after="20" w:before="0" w:line="240" w:lineRule="auto"/>
            </w:pPr>
            <w:r>
              <w:rPr>
                <w:color w:val="000000"/>
                <w:sz w:val="20"/>
              </w:rPr>
              <w:t>[Enter here]</w:t>
            </w:r>
          </w:p>
        </w:tc>
        <w:tc>
          <w:tcPr>
            <w:tcW w:type="dxa" w:w="504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Cardholder contact email or phone</w:t>
            </w:r>
          </w:p>
          <w:p>
            <w:pPr>
              <w:spacing w:after="20" w:before="0" w:line="240" w:lineRule="auto"/>
            </w:pPr>
            <w:r>
              <w:rPr>
                <w:color w:val="000000"/>
                <w:sz w:val="20"/>
              </w:rPr>
              <w:t>[Enter here]</w:t>
            </w:r>
          </w:p>
        </w:tc>
      </w:tr>
    </w:tbl>
    <w:p>
      <w:pPr>
        <w:spacing w:after="0" w:before="0" w:line="60" w:lineRule="exact"/>
      </w:pPr>
      <w:r>
        <w:rPr>
          <w:sz w:val="4"/>
        </w:rPr>
        <w:t xml:space="preserve"> </w:t>
      </w:r>
    </w:p>
    <w:p>
      <w:pPr>
        <w:pStyle w:val="Heading2"/>
      </w:pPr>
      <w:r>
        <w:t>Payment schedule and cancellation</w:t>
      </w:r>
    </w:p>
    <w:tbl>
      <w:tblPr>
        <w:tblW w:type="auto" w:w="0"/>
        <w:jc w:val="center"/>
        <w:tblLayout w:type="fixed"/>
        <w:tblLook w:firstColumn="1" w:firstRow="1" w:lastColumn="0" w:lastRow="0" w:noHBand="0" w:noVBand="1" w:val="04A0"/>
      </w:tblPr>
      <w:tblGrid>
        <w:gridCol w:w="10080"/>
      </w:tblGrid>
      <w:tr>
        <w:trPr>
          <w:cantSplit/>
        </w:trPr>
        <w:tc>
          <w:tcPr>
            <w:tcW w:type="dxa" w:w="1008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Goods or services and agreement reference</w:t>
            </w:r>
          </w:p>
          <w:p>
            <w:pPr>
              <w:spacing w:after="20" w:before="0" w:line="240" w:lineRule="auto"/>
            </w:pPr>
            <w:r>
              <w:rPr>
                <w:color w:val="000000"/>
                <w:sz w:val="20"/>
              </w:rPr>
              <w:t>[Enter here]</w:t>
            </w:r>
          </w:p>
        </w:tc>
      </w:tr>
    </w:tbl>
    <w:p>
      <w:pPr>
        <w:spacing w:after="0" w:before="0" w:line="60" w:lineRule="exact"/>
      </w:pPr>
      <w:r>
        <w:rPr>
          <w:sz w:val="4"/>
        </w:rPr>
        <w:t xml:space="preserve"> </w:t>
      </w:r>
    </w:p>
    <w:tbl>
      <w:tblPr>
        <w:tblW w:type="auto" w:w="0"/>
        <w:jc w:val="center"/>
        <w:tblLayout w:type="fixed"/>
        <w:tblLook w:firstColumn="1" w:firstRow="1" w:lastColumn="0" w:lastRow="0" w:noHBand="0" w:noVBand="1" w:val="04A0"/>
      </w:tblPr>
      <w:tblGrid>
        <w:gridCol w:w="3360"/>
        <w:gridCol w:w="3360"/>
        <w:gridCol w:w="3360"/>
      </w:tblGrid>
      <w:tr>
        <w:trPr>
          <w:cantSplit/>
        </w:trPr>
        <w:tc>
          <w:tcPr>
            <w:tcW w:type="dxa" w:w="336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Fixed amount per charge</w:t>
            </w:r>
          </w:p>
          <w:p>
            <w:pPr>
              <w:spacing w:after="20" w:before="0" w:line="240" w:lineRule="auto"/>
            </w:pPr>
            <w:r>
              <w:rPr>
                <w:color w:val="000000"/>
                <w:sz w:val="20"/>
              </w:rPr>
              <w:t>[Enter here]</w:t>
            </w:r>
          </w:p>
        </w:tc>
        <w:tc>
          <w:tcPr>
            <w:tcW w:type="dxa" w:w="336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Currency e.g. USD</w:t>
            </w:r>
          </w:p>
          <w:p>
            <w:pPr>
              <w:spacing w:after="20" w:before="0" w:line="240" w:lineRule="auto"/>
            </w:pPr>
            <w:r>
              <w:rPr>
                <w:color w:val="000000"/>
                <w:sz w:val="20"/>
              </w:rPr>
              <w:t>[Enter here]</w:t>
            </w:r>
          </w:p>
        </w:tc>
        <w:tc>
          <w:tcPr>
            <w:tcW w:type="dxa" w:w="336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Frequency and billing day</w:t>
            </w:r>
          </w:p>
          <w:p>
            <w:pPr>
              <w:spacing w:after="20" w:before="0" w:line="240" w:lineRule="auto"/>
            </w:pPr>
            <w:r>
              <w:rPr>
                <w:color w:val="000000"/>
                <w:sz w:val="20"/>
              </w:rPr>
              <w:t>[Enter here]</w:t>
            </w:r>
          </w:p>
        </w:tc>
      </w:tr>
    </w:tbl>
    <w:p>
      <w:pPr>
        <w:spacing w:after="0" w:before="0" w:line="60" w:lineRule="exact"/>
      </w:pPr>
      <w:r>
        <w:rPr>
          <w:sz w:val="4"/>
        </w:rPr>
        <w:t xml:space="preserve"> </w:t>
      </w:r>
    </w:p>
    <w:tbl>
      <w:tblPr>
        <w:tblW w:type="auto" w:w="0"/>
        <w:jc w:val="center"/>
        <w:tblLayout w:type="fixed"/>
        <w:tblLook w:firstColumn="1" w:firstRow="1" w:lastColumn="0" w:lastRow="0" w:noHBand="0" w:noVBand="1" w:val="04A0"/>
      </w:tblPr>
      <w:tblGrid>
        <w:gridCol w:w="5040"/>
        <w:gridCol w:w="5040"/>
      </w:tblGrid>
      <w:tr>
        <w:trPr>
          <w:cantSplit/>
        </w:trPr>
        <w:tc>
          <w:tcPr>
            <w:tcW w:type="dxa" w:w="504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First charge date</w:t>
            </w:r>
          </w:p>
          <w:p>
            <w:pPr>
              <w:spacing w:after="20" w:before="0" w:line="240" w:lineRule="auto"/>
            </w:pPr>
            <w:r>
              <w:rPr>
                <w:color w:val="000000"/>
                <w:sz w:val="20"/>
              </w:rPr>
              <w:t>[Enter here]</w:t>
            </w:r>
          </w:p>
        </w:tc>
        <w:tc>
          <w:tcPr>
            <w:tcW w:type="dxa" w:w="504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End date or write until cancelled</w:t>
            </w:r>
          </w:p>
          <w:p>
            <w:pPr>
              <w:spacing w:after="20" w:before="0" w:line="240" w:lineRule="auto"/>
            </w:pPr>
            <w:r>
              <w:rPr>
                <w:color w:val="000000"/>
                <w:sz w:val="20"/>
              </w:rPr>
              <w:t>[Enter here]</w:t>
            </w:r>
          </w:p>
        </w:tc>
      </w:tr>
    </w:tbl>
    <w:p>
      <w:pPr>
        <w:spacing w:after="0" w:before="0" w:line="60" w:lineRule="exact"/>
      </w:pPr>
      <w:r>
        <w:rPr>
          <w:sz w:val="4"/>
        </w:rPr>
        <w:t xml:space="preserve"> </w:t>
      </w:r>
    </w:p>
    <w:tbl>
      <w:tblPr>
        <w:tblW w:type="auto" w:w="0"/>
        <w:jc w:val="center"/>
        <w:tblLayout w:type="fixed"/>
        <w:tblLook w:firstColumn="1" w:firstRow="1" w:lastColumn="0" w:lastRow="0" w:noHBand="0" w:noVBand="1" w:val="04A0"/>
      </w:tblPr>
      <w:tblGrid>
        <w:gridCol w:w="10080"/>
      </w:tblGrid>
      <w:tr>
        <w:trPr>
          <w:cantSplit/>
        </w:trPr>
        <w:tc>
          <w:tcPr>
            <w:tcW w:type="dxa" w:w="1008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How and where to cancel contact or URL</w:t>
            </w:r>
          </w:p>
          <w:p>
            <w:pPr>
              <w:spacing w:after="20" w:before="0" w:line="240" w:lineRule="auto"/>
            </w:pPr>
            <w:r>
              <w:rPr>
                <w:color w:val="000000"/>
                <w:sz w:val="20"/>
              </w:rPr>
              <w:t>[Enter here]</w:t>
            </w:r>
          </w:p>
        </w:tc>
      </w:tr>
    </w:tbl>
    <w:p>
      <w:pPr>
        <w:spacing w:after="0" w:before="0" w:line="60" w:lineRule="exact"/>
      </w:pPr>
      <w:r>
        <w:rPr>
          <w:sz w:val="4"/>
        </w:rPr>
        <w:t xml:space="preserve"> </w:t>
      </w:r>
    </w:p>
    <w:tbl>
      <w:tblPr>
        <w:tblW w:type="auto" w:w="0"/>
        <w:jc w:val="center"/>
        <w:tblLayout w:type="fixed"/>
        <w:tblLook w:firstColumn="1" w:firstRow="1" w:lastColumn="0" w:lastRow="0" w:noHBand="0" w:noVBand="1" w:val="04A0"/>
      </w:tblPr>
      <w:tblGrid>
        <w:gridCol w:w="10080"/>
      </w:tblGrid>
      <w:tr>
        <w:trPr>
          <w:cantSplit/>
        </w:trPr>
        <w:tc>
          <w:tcPr>
            <w:tcW w:type="dxa" w:w="1008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Cancellation timing before the next charge</w:t>
            </w:r>
          </w:p>
          <w:p>
            <w:pPr>
              <w:spacing w:after="20" w:before="0" w:line="240" w:lineRule="auto"/>
            </w:pPr>
            <w:r>
              <w:rPr>
                <w:color w:val="000000"/>
                <w:sz w:val="20"/>
              </w:rPr>
              <w:t>[Enter here]</w:t>
            </w:r>
          </w:p>
        </w:tc>
      </w:tr>
    </w:tbl>
    <w:p>
      <w:pPr>
        <w:spacing w:after="0" w:before="0" w:line="60" w:lineRule="exact"/>
      </w:pPr>
      <w:r>
        <w:rPr>
          <w:sz w:val="4"/>
        </w:rPr>
        <w:t xml:space="preserve"> </w:t>
      </w:r>
    </w:p>
    <w:tbl>
      <w:tblPr>
        <w:tblW w:type="auto" w:w="0"/>
        <w:jc w:val="center"/>
        <w:tblLayout w:type="fixed"/>
        <w:tblLook w:firstColumn="1" w:firstRow="1" w:lastColumn="0" w:lastRow="0" w:noHBand="0" w:noVBand="1" w:val="04A0"/>
      </w:tblPr>
      <w:tblGrid>
        <w:gridCol w:w="5040"/>
        <w:gridCol w:w="5040"/>
      </w:tblGrid>
      <w:tr>
        <w:trPr>
          <w:cantSplit/>
        </w:trPr>
        <w:tc>
          <w:tcPr>
            <w:tcW w:type="dxa" w:w="504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Card last four digits optional</w:t>
            </w:r>
          </w:p>
          <w:p>
            <w:pPr>
              <w:spacing w:after="20" w:before="0" w:line="240" w:lineRule="auto"/>
            </w:pPr>
            <w:r>
              <w:rPr>
                <w:color w:val="000000"/>
                <w:sz w:val="20"/>
              </w:rPr>
              <w:t>[Enter here]</w:t>
            </w:r>
          </w:p>
        </w:tc>
        <w:tc>
          <w:tcPr>
            <w:tcW w:type="dxa" w:w="504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Non-secret payment record reference optional</w:t>
            </w:r>
          </w:p>
          <w:p>
            <w:pPr>
              <w:spacing w:after="20" w:before="0" w:line="240" w:lineRule="auto"/>
            </w:pPr>
            <w:r>
              <w:rPr>
                <w:color w:val="000000"/>
                <w:sz w:val="20"/>
              </w:rPr>
              <w:t>[Enter here]</w:t>
            </w:r>
          </w:p>
        </w:tc>
      </w:tr>
    </w:tbl>
    <w:p>
      <w:pPr>
        <w:spacing w:after="0" w:before="0" w:line="60" w:lineRule="exact"/>
      </w:pPr>
      <w:r>
        <w:rPr>
          <w:sz w:val="4"/>
        </w:rPr>
        <w:t xml:space="preserve"> </w:t>
      </w:r>
    </w:p>
    <w:p>
      <w:pPr>
        <w:pStyle w:val="Heading2"/>
      </w:pPr>
      <w:r>
        <w:t>Cardholder authorization</w:t>
      </w:r>
    </w:p>
    <w:p>
      <w:pPr>
        <w:spacing w:after="140" w:line="240" w:lineRule="auto"/>
      </w:pPr>
      <w:r>
        <w:rPr>
          <w:sz w:val="18"/>
        </w:rPr>
        <w:t>I authorize the merchant named above to charge the specified card on file for the fixed amount, currency and schedule stated above, beginning on the first charge date and ending as stated. I have received the cancellation instructions. I can withdraw permission for future charges using those instructions, subject to applicable rights. Changes to the amount or schedule require a new agreement before changed charges. My cancellation, refund and dispute rights are not waived.</w:t>
      </w:r>
    </w:p>
    <w:tbl>
      <w:tblPr>
        <w:tblW w:type="auto" w:w="0"/>
        <w:jc w:val="center"/>
        <w:tblLayout w:type="fixed"/>
        <w:tblLook w:firstColumn="1" w:firstRow="1" w:lastColumn="0" w:lastRow="0" w:noHBand="0" w:noVBand="1" w:val="04A0"/>
      </w:tblPr>
      <w:tblGrid>
        <w:gridCol w:w="5040"/>
        <w:gridCol w:w="5040"/>
      </w:tblGrid>
      <w:tr>
        <w:trPr>
          <w:cantSplit/>
        </w:trPr>
        <w:tc>
          <w:tcPr>
            <w:tcW w:type="dxa" w:w="504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Signer name</w:t>
            </w:r>
          </w:p>
          <w:p>
            <w:pPr>
              <w:spacing w:after="20" w:before="0" w:line="240" w:lineRule="auto"/>
            </w:pPr>
            <w:r>
              <w:rPr>
                <w:color w:val="000000"/>
                <w:sz w:val="20"/>
              </w:rPr>
              <w:t>[Enter here]</w:t>
            </w:r>
          </w:p>
        </w:tc>
        <w:tc>
          <w:tcPr>
            <w:tcW w:type="dxa" w:w="504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Signature date</w:t>
            </w:r>
          </w:p>
          <w:p>
            <w:pPr>
              <w:spacing w:after="20" w:before="0" w:line="240" w:lineRule="auto"/>
            </w:pPr>
            <w:r>
              <w:rPr>
                <w:color w:val="000000"/>
                <w:sz w:val="20"/>
              </w:rPr>
              <w:t>[Enter here]</w:t>
            </w:r>
          </w:p>
        </w:tc>
      </w:tr>
    </w:tbl>
    <w:p>
      <w:pPr>
        <w:spacing w:after="0" w:before="0" w:line="60" w:lineRule="exact"/>
      </w:pPr>
      <w:r>
        <w:rPr>
          <w:sz w:val="4"/>
        </w:rPr>
        <w:t xml:space="preserve"> </w:t>
      </w:r>
    </w:p>
    <w:tbl>
      <w:tblPr>
        <w:tblW w:type="auto" w:w="0"/>
        <w:jc w:val="center"/>
        <w:tblLayout w:type="fixed"/>
        <w:tblLook w:firstColumn="1" w:firstRow="1" w:lastColumn="0" w:lastRow="0" w:noHBand="0" w:noVBand="1" w:val="04A0"/>
      </w:tblPr>
      <w:tblGrid>
        <w:gridCol w:w="10080"/>
      </w:tblGrid>
      <w:tr>
        <w:trPr>
          <w:cantSplit/>
        </w:trPr>
        <w:tc>
          <w:tcPr>
            <w:tcW w:type="dxa" w:w="1008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Signature or typed name see note below</w:t>
            </w:r>
          </w:p>
          <w:p>
            <w:pPr>
              <w:spacing w:after="20" w:before="0" w:line="240" w:lineRule="auto"/>
            </w:pPr>
            <w:r>
              <w:rPr>
                <w:color w:val="000000"/>
                <w:sz w:val="20"/>
              </w:rPr>
              <w:t>[Enter here]</w:t>
            </w:r>
          </w:p>
        </w:tc>
      </w:tr>
    </w:tbl>
    <w:p>
      <w:pPr>
        <w:spacing w:after="0" w:before="0" w:line="60" w:lineRule="exact"/>
      </w:pPr>
      <w:r>
        <w:rPr>
          <w:sz w:val="4"/>
        </w:rPr>
        <w:t xml:space="preserve"> </w:t>
      </w:r>
    </w:p>
    <w:p>
      <w:pPr>
        <w:spacing w:after="0"/>
      </w:pPr>
      <w:r>
        <w:rPr>
          <w:color w:val="545B61"/>
          <w:sz w:val="16"/>
        </w:rPr>
        <w:t>Typed-name fields record text only. Use an appropriate signing process; see page 2. Do not enter a full card number or security code anywhere in this document.</w:t>
      </w:r>
    </w:p>
    <w:p>
      <w:r>
        <w:br w:type="page"/>
      </w:r>
    </w:p>
    <w:p>
      <w:pPr>
        <w:pStyle w:val="Title"/>
      </w:pPr>
      <w:r>
        <w:t>Merchant use checklist</w:t>
      </w:r>
    </w:p>
    <w:p>
      <w:r>
        <w:t>Adapt this sample before use. Keep the completed authorization and these instructions together.</w:t>
      </w:r>
    </w:p>
    <w:p>
      <w:pPr>
        <w:pStyle w:val="Heading2"/>
      </w:pPr>
      <w:r>
        <w:t>1 Complete every part of the schedule</w:t>
      </w:r>
    </w:p>
    <w:p>
      <w:pPr>
        <w:spacing w:line="252" w:lineRule="auto"/>
      </w:pPr>
      <w:r>
        <w:rPr>
          <w:sz w:val="20"/>
        </w:rPr>
        <w:t>State the exact amount per charge, currency, billing frequency and day, first charge date, and either an end date or until cancelled. Clarify how non-business days are handled in the merchant's terms. Do not use this fixed-amount sample for variable usage charges, add-ons or a trial converting to a paid plan.</w:t>
      </w:r>
    </w:p>
    <w:p>
      <w:pPr>
        <w:pStyle w:val="Heading2"/>
      </w:pPr>
      <w:r>
        <w:t>2 Make cancellation practical</w:t>
      </w:r>
    </w:p>
    <w:p>
      <w:pPr>
        <w:spacing w:line="252" w:lineRule="auto"/>
      </w:pPr>
      <w:r>
        <w:rPr>
          <w:sz w:val="20"/>
        </w:rPr>
        <w:t>Fill in a working cancellation method and the timing for stopping the next scheduled charge. Give the customer the relevant subscription, refund and cancellation terms before authorization. Tailor the process to applicable requirements; this form does not override legal rights or justify charging after a valid cancellation.</w:t>
      </w:r>
    </w:p>
    <w:p>
      <w:pPr>
        <w:pStyle w:val="Heading2"/>
      </w:pPr>
      <w:r>
        <w:t>3 Use the provider's recurring workflow</w:t>
      </w:r>
    </w:p>
    <w:p>
      <w:pPr>
        <w:spacing w:line="252" w:lineRule="auto"/>
      </w:pPr>
      <w:r>
        <w:rPr>
          <w:sz w:val="20"/>
        </w:rPr>
        <w:t>Collect the card through your provider's supported secure workflow. Confirm the provider supports the intended stored-credential setup, transaction indicators, customer notices and cancellation handling. A customer signature alone does not configure recurring billing or satisfy every network or legal requirement.</w:t>
      </w:r>
    </w:p>
    <w:p>
      <w:pPr>
        <w:pStyle w:val="Heading2"/>
      </w:pPr>
      <w:r>
        <w:t>4 Keep agreement and payment records distinct</w:t>
      </w:r>
    </w:p>
    <w:p>
      <w:pPr>
        <w:spacing w:line="252" w:lineRule="auto"/>
      </w:pPr>
      <w:r>
        <w:rPr>
          <w:sz w:val="20"/>
        </w:rPr>
        <w:t>Record the agreement through an appropriate signing or consent process and give the customer a copy. A typed name in this document is not a verified digital-signature service. Keep the recurring agreement, change notices, receipts and cancellation history with the transaction records; restrict access and use a documented retention policy.</w:t>
      </w:r>
    </w:p>
    <w:p>
      <w:pPr>
        <w:pStyle w:val="Heading2"/>
      </w:pPr>
      <w:r>
        <w:t>5 Stop and update the schedule when needed</w:t>
      </w:r>
    </w:p>
    <w:p>
      <w:pPr>
        <w:spacing w:line="252" w:lineRule="auto"/>
      </w:pPr>
      <w:r>
        <w:rPr>
          <w:sz w:val="20"/>
        </w:rPr>
        <w:t>Act on cancellation requests and payment-provider instructions. Obtain a new agreement before changing the amount or schedule. Do not retry declined charges indefinitely; follow the provider's applicable retry rules. Authorization does not guarantee available funds, issuer approval or a dispute result.</w:t>
      </w:r>
    </w:p>
    <w:p>
      <w:pPr>
        <w:pStyle w:val="Heading2"/>
      </w:pPr>
      <w:r>
        <w:t>Use with your own business terms and review requirements</w:t>
      </w:r>
    </w:p>
    <w:p>
      <w:r>
        <w:rPr>
          <w:sz w:val="18"/>
        </w:rPr>
        <w:t>This sample is not legal advice, a payment processor agreement or a promise of PCI compliance. Have your provider and appropriate adviser review the adapted workflow. Completed customer authorization forms belong in your merchant records. Do not upload them to NMS.io/app; that application is for merchant onboarding.</w:t>
      </w:r>
    </w:p>
    <w:p>
      <w:r>
        <w:rPr>
          <w:color w:val="545B61"/>
          <w:sz w:val="15"/>
        </w:rPr>
        <w:t>Security reference: PCI Security Standards Council FAQ 1280. Card verification codes must not be stored after authorization. https://www.pcisecuritystandards.org/faqs/1280/</w:t>
        <w:br/>
        <w:t>Reviewed November 2, 2026.</w:t>
      </w:r>
    </w:p>
    <w:sectPr w:rsidR="00FC693F" w:rsidRPr="0006063C" w:rsidSect="00034616">
      <w:footerReference w:type="default" r:id="rId10"/>
      <w:pgSz w:w="12240" w:h="15840"/>
      <w:pgMar w:top="893" w:right="1080" w:bottom="864" w:left="1080"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45B61"/>
        <w:sz w:val="16"/>
      </w:rPr>
      <w:t>NUMUS Merchant Systems  |  nms.io  |  Merchant resource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Bdr>
        <w:bottom w:val="single" w:sz="8" w:color="F7921D"/>
      </w:pBdr>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Recurring credit card authorization</dc:title>
  <dc:subject>Permission for a fixed scheduled amount</dc:subject>
  <dc:creator>NUMUS Merchant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